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E" w:rsidRPr="00720BA2" w:rsidRDefault="00904454" w:rsidP="0071325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D9D9D9" w:themeColor="background1" w:themeShade="D9"/>
          <w:sz w:val="28"/>
          <w:szCs w:val="28"/>
          <w:lang w:eastAsia="ru-RU"/>
        </w:rPr>
      </w:pPr>
      <w:r w:rsidRPr="00D1112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FCFFE85" wp14:editId="79641485">
            <wp:simplePos x="0" y="0"/>
            <wp:positionH relativeFrom="column">
              <wp:posOffset>2539365</wp:posOffset>
            </wp:positionH>
            <wp:positionV relativeFrom="paragraph">
              <wp:posOffset>71120</wp:posOffset>
            </wp:positionV>
            <wp:extent cx="7429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46" y="21120"/>
                <wp:lineTo x="21046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25E" w:rsidRPr="00D1112A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</w:p>
    <w:p w:rsidR="0071325E" w:rsidRPr="00D1112A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</w:p>
    <w:p w:rsidR="0071325E" w:rsidRPr="00904454" w:rsidRDefault="00904454" w:rsidP="0071325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ПРОЕКТ</w:t>
      </w:r>
    </w:p>
    <w:p w:rsidR="0071325E" w:rsidRPr="00904454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1325E" w:rsidRPr="00904454" w:rsidRDefault="0071325E" w:rsidP="007132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71325E" w:rsidRPr="00904454" w:rsidRDefault="0071325E" w:rsidP="007132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1325E" w:rsidRPr="00904454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1325E" w:rsidRPr="00904454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25E" w:rsidRPr="00904454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4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1325E" w:rsidRPr="00720BA2" w:rsidRDefault="0071325E" w:rsidP="0071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Pr="00904454" w:rsidRDefault="00904454" w:rsidP="00713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от__________________№________</w:t>
      </w:r>
      <w:r w:rsidR="0071325E"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71325E" w:rsidRPr="006237C5" w:rsidRDefault="0071325E" w:rsidP="0071325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5E" w:rsidRDefault="0071325E" w:rsidP="00904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соглашений о </w:t>
      </w:r>
      <w:proofErr w:type="spellStart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 и концессионных соглашений от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 Самарской области на срок, превышающий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утвержденных лимитов бюджетных обязательств</w:t>
      </w:r>
    </w:p>
    <w:p w:rsidR="0071325E" w:rsidRDefault="0071325E" w:rsidP="00904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Pr="00D1112A" w:rsidRDefault="0071325E" w:rsidP="009044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6" w:history="1">
        <w:r w:rsidRPr="00D1112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ёй</w:t>
        </w:r>
        <w:r w:rsidRPr="00D1112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78</w:t>
        </w:r>
      </w:hyperlink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 соглашениях», Федеральным законом от 13.07.2015 № 224-ФЗ «О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 в Российской Федерации и внесении изменений в отдельные законодательные акты Российской Федерации», в целях реализации инвестиционных проектов, осуществляемых в рамках концессионных соглашений, соглашений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руководствуясь ст. 41, 43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района</w:t>
      </w:r>
      <w:proofErr w:type="gramEnd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Самарской области, администрация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Самарской области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1325E" w:rsidRPr="00D1112A" w:rsidRDefault="0071325E" w:rsidP="009044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hyperlink r:id="rId7" w:anchor="Par33" w:history="1">
        <w:r w:rsidRPr="00D1112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Порядок</w:t>
        </w:r>
      </w:hyperlink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</w:t>
      </w:r>
      <w:proofErr w:type="spellEnd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 и концессионных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 от имени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 Самарской области на срок, превы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шающий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лимитов 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25E" w:rsidRPr="00D1112A" w:rsidRDefault="0071325E" w:rsidP="009044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районной газете «Степь» и 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в информационно-коммуника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сети Интернет.</w:t>
      </w:r>
    </w:p>
    <w:p w:rsidR="0071325E" w:rsidRPr="00D1112A" w:rsidRDefault="0071325E" w:rsidP="009044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Pr="00D1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по экономике, инвестициям и потребительскому рынку (Смирнова С.В.).</w:t>
      </w:r>
    </w:p>
    <w:p w:rsidR="0071325E" w:rsidRDefault="0071325E" w:rsidP="0090445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Default="0071325E" w:rsidP="0090445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Default="0071325E" w:rsidP="009044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1325E" w:rsidRPr="00D1112A" w:rsidRDefault="0071325E" w:rsidP="009044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Пестравский                                                                       С.В. Ермолов</w:t>
      </w:r>
    </w:p>
    <w:p w:rsidR="0071325E" w:rsidRDefault="0071325E" w:rsidP="00904454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/>
    <w:p w:rsidR="0071325E" w:rsidRDefault="0071325E" w:rsidP="0071325E">
      <w:bookmarkStart w:id="0" w:name="_GoBack"/>
      <w:bookmarkEnd w:id="0"/>
    </w:p>
    <w:p w:rsidR="0071325E" w:rsidRPr="001B68AB" w:rsidRDefault="0071325E" w:rsidP="0071325E">
      <w:pPr>
        <w:rPr>
          <w:rFonts w:ascii="Times New Roman" w:hAnsi="Times New Roman" w:cs="Times New Roman"/>
          <w:sz w:val="20"/>
          <w:szCs w:val="20"/>
        </w:rPr>
      </w:pPr>
      <w:r w:rsidRPr="001B68AB">
        <w:rPr>
          <w:rFonts w:ascii="Times New Roman" w:hAnsi="Times New Roman" w:cs="Times New Roman"/>
          <w:sz w:val="20"/>
          <w:szCs w:val="20"/>
        </w:rPr>
        <w:t>Коновалова О.Н.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68AB">
        <w:rPr>
          <w:rFonts w:ascii="Times New Roman" w:hAnsi="Times New Roman" w:cs="Times New Roman"/>
          <w:sz w:val="20"/>
          <w:szCs w:val="20"/>
        </w:rPr>
        <w:t>22478</w:t>
      </w:r>
    </w:p>
    <w:p w:rsidR="0071325E" w:rsidRPr="00904454" w:rsidRDefault="0071325E" w:rsidP="0090445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71325E" w:rsidRPr="00904454" w:rsidRDefault="0071325E" w:rsidP="00904454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</w:p>
    <w:p w:rsidR="0071325E" w:rsidRPr="00904454" w:rsidRDefault="0071325E" w:rsidP="0090445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Пестравский </w:t>
      </w:r>
    </w:p>
    <w:p w:rsidR="0071325E" w:rsidRPr="00904454" w:rsidRDefault="0071325E" w:rsidP="0090445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4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__________</w:t>
      </w: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3"/>
      <w:bookmarkEnd w:id="1"/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заключении соглашений</w:t>
      </w: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рстве и </w:t>
      </w:r>
      <w:proofErr w:type="gramStart"/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концессионных</w:t>
      </w:r>
      <w:proofErr w:type="gramEnd"/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от имени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Пестравский</w:t>
      </w: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</w:t>
      </w: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на срок, превышающий срок действия утвержденных лимитов</w:t>
      </w:r>
      <w:r w:rsidR="0090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обязательств</w:t>
      </w:r>
    </w:p>
    <w:p w:rsidR="0071325E" w:rsidRPr="000447EB" w:rsidRDefault="0071325E" w:rsidP="0071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принятия решений о заключении соглашений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публичным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в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заключаемых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законодательством Рос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и концессионных соглашений,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заключаемых в соответствии с законодательством Российской Федерации о концессионных соглашениях, на срок, превышающий в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Бюджетным </w:t>
      </w:r>
      <w:hyperlink r:id="rId8" w:history="1"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лимитов бюджетных обязательств.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реализации проекта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рства, публичным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в котором является</w:t>
      </w:r>
      <w:r w:rsidRPr="0097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превышающий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лимитов бюджетных обязательств (далее -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нерства), принимается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технологически связанного между собой недвижимого имущества или недвижимого имущества и движимого имущества (далее - объект соглашения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рстве).</w:t>
      </w:r>
      <w:proofErr w:type="gramEnd"/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соглашения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в отно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которых может быть заключено соглаше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определяется в соответствии со </w:t>
      </w:r>
      <w:hyperlink r:id="rId9" w:history="1"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</w:t>
        </w:r>
        <w:r w:rsidR="009044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ё</w:t>
        </w:r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й 7</w:t>
        </w:r>
      </w:hyperlink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13 ию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2015 года № 224-ФЗ «О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 в Российской Федерации и внесении изменений в отдельные законодательные акты Российской Федерации».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заключении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 на срок, превышающий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лимитов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обязательств (далее соот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 - заключение концессионного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концессионное согла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шение), принимается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имущества (недвижимого имущества или недвижимого имущества и движимого имущества, технологически связанных между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и предназ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наченных для осуществления деятельности, предусмотренной концессионным соглашением) (далее - объект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соглашения), право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принадлежит или будет принадлежать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</w:t>
        </w:r>
        <w:r w:rsidR="009044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ё</w:t>
        </w:r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й 4</w:t>
        </w:r>
      </w:hyperlink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№ 115-ФЗ «О концессионных соглашениях».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публичным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в которых является</w:t>
      </w:r>
      <w:r w:rsidRPr="0097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концессионные соглашения,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97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заключены на срок, превышающий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 основании решений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проектов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рства, принимаемых в соответствии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заключении концессионных соглашений, принимаемых в соответствии с законодательством Российской Федерации 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онцессионных соглашениях, в рам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на срок и в пределах средств, предусмотренных соответствующими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концессионного соглашения, заключаемых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превышает срок реализации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такое соглашение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концессионное соглашение может быть заключено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рства, принимаемого в соответствии с законодательством Российской Федерации 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о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71325E" w:rsidRPr="000447EB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Концессионные соглашения,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выступает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заключаться на срок, превышающий срок действия утвержд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лимитов бюджетных обязательств, на основании решений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 Самарской области о заключении концес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сионных соглашений, принимаемых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средств, предусмот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 соответствующие цели в муниципальных программах, предусматривающих осуществление бюджетных инвестиций в</w:t>
      </w:r>
      <w:proofErr w:type="gram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капитального строительства муниципальной собственности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11" w:history="1"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</w:t>
        </w:r>
        <w:r w:rsidR="009044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ё</w:t>
        </w:r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й 79</w:t>
        </w:r>
      </w:hyperlink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71325E" w:rsidRDefault="0071325E" w:rsidP="00713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средств, предусмотренный на исполнение обязательств по соглашению о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рстве, концессионному согла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в текущем финансовом году и плановом периоде не может превышать объ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бюджетных ассигнований,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отренных решением Собрания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Самарской области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Самарской области 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на плановый период.</w:t>
      </w:r>
    </w:p>
    <w:p w:rsidR="0071325E" w:rsidRPr="000447EB" w:rsidRDefault="0071325E" w:rsidP="009044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реализации проекта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должно соответствовать требованиям, установленным </w:t>
      </w:r>
      <w:hyperlink r:id="rId12" w:history="1">
        <w:r w:rsidRPr="000447E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частью 3 статьи 10</w:t>
        </w:r>
      </w:hyperlink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июля 2015 года № 224-ФЗ «О государственно-частном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рстве, </w:t>
      </w:r>
      <w:proofErr w:type="spellStart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и внесении изме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законодательные акты Российской Федерации».</w:t>
      </w:r>
      <w:proofErr w:type="gramEnd"/>
    </w:p>
    <w:p w:rsidR="00C82506" w:rsidRDefault="0071325E" w:rsidP="0090445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C0">
        <w:rPr>
          <w:rFonts w:ascii="Times New Roman" w:eastAsia="Times New Roman" w:hAnsi="Times New Roman"/>
          <w:sz w:val="28"/>
          <w:szCs w:val="28"/>
          <w:lang w:eastAsia="ru-RU"/>
        </w:rPr>
        <w:t xml:space="preserve">8. Решение о заключении концессионного соглашения должно соответствовать требованиям, установленным </w:t>
      </w:r>
      <w:hyperlink r:id="rId13" w:history="1">
        <w:r w:rsidRPr="003F7EC0">
          <w:rPr>
            <w:rFonts w:ascii="Times New Roman" w:eastAsia="Times New Roman" w:hAnsi="Times New Roman"/>
            <w:sz w:val="28"/>
            <w:szCs w:val="24"/>
            <w:lang w:eastAsia="ru-RU"/>
          </w:rPr>
          <w:t>частью 2 статьи 22</w:t>
        </w:r>
      </w:hyperlink>
      <w:r w:rsidRPr="003F7EC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21 июля 2005 года № 115-Ф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«О концессионных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соглашениях».</w:t>
      </w:r>
    </w:p>
    <w:p w:rsidR="003D36CE" w:rsidRDefault="003D36CE" w:rsidP="0090445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администрации муниципального района Пестравский Самарской области о заключении соглашения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-частном партн</w:t>
      </w:r>
      <w:r w:rsidR="0090445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рстве, концессионного соглашения от имени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 Пестравский Самарской области на срок, превышающий </w:t>
      </w:r>
      <w:r w:rsidR="00AF694F">
        <w:rPr>
          <w:rFonts w:ascii="Times New Roman" w:eastAsia="Times New Roman" w:hAnsi="Times New Roman"/>
          <w:sz w:val="28"/>
          <w:szCs w:val="28"/>
          <w:lang w:eastAsia="ru-RU"/>
        </w:rPr>
        <w:t>срок действия утвержд</w:t>
      </w:r>
      <w:r w:rsidR="0090445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AF694F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лимитов бюджетных обязательств, принимается в форме постановления </w:t>
      </w:r>
      <w:r w:rsidR="00AF69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Пестравский Самарской области</w:t>
      </w:r>
      <w:r w:rsidR="00AF694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обязательному согласованию с Финансовым управлением муниципального района Пестравский Самарской области и заместителем Главы муниципального района Пестравский по</w:t>
      </w:r>
      <w:proofErr w:type="gramEnd"/>
      <w:r w:rsidR="00AF694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экономике, инвестициям и потребительскому рынку.</w:t>
      </w:r>
    </w:p>
    <w:p w:rsidR="00AF694F" w:rsidRDefault="00AF694F" w:rsidP="0071325E">
      <w:pPr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муниципального района Пестравский Самарской области, указанный в пункте 9 настоящего Порядка, согласованный с Финансовым управлением муниципального района Пестравский Самарской области и заместителем Главы муниципального района Пестравский по экономике, инвестициям и потребительскому рынку, направляется для дальнейшего согласования и подписания в порядке, установленном Инструкцией по делопроизводству в администрации муниципального района Пестравский Самарской области. </w:t>
      </w:r>
      <w:proofErr w:type="gramEnd"/>
    </w:p>
    <w:sectPr w:rsidR="00AF694F" w:rsidSect="009044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E"/>
    <w:rsid w:val="003D36CE"/>
    <w:rsid w:val="0071325E"/>
    <w:rsid w:val="00904454"/>
    <w:rsid w:val="00AF694F"/>
    <w:rsid w:val="00C82506"/>
    <w:rsid w:val="00E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3</cp:revision>
  <cp:lastPrinted>2021-11-19T11:59:00Z</cp:lastPrinted>
  <dcterms:created xsi:type="dcterms:W3CDTF">2021-11-19T11:26:00Z</dcterms:created>
  <dcterms:modified xsi:type="dcterms:W3CDTF">2021-11-19T12:01:00Z</dcterms:modified>
</cp:coreProperties>
</file>